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F5" w:rsidRPr="00B060F0" w:rsidRDefault="00B060F0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060F0">
        <w:rPr>
          <w:rFonts w:ascii="Times New Roman" w:hAnsi="Times New Roman" w:cs="Times New Roman"/>
          <w:sz w:val="24"/>
          <w:szCs w:val="24"/>
          <w:lang w:val="sr-Latn-ME"/>
        </w:rPr>
        <w:t>PRAKTIČNA PITANJA I GRUPA</w:t>
      </w:r>
    </w:p>
    <w:p w:rsidR="00B060F0" w:rsidRPr="00B060F0" w:rsidRDefault="00B060F0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060F0">
        <w:rPr>
          <w:rFonts w:ascii="Times New Roman" w:hAnsi="Times New Roman" w:cs="Times New Roman"/>
          <w:sz w:val="24"/>
          <w:szCs w:val="24"/>
          <w:lang w:val="sr-Latn-ME"/>
        </w:rPr>
        <w:t>1.KAKO POSTUP</w:t>
      </w:r>
      <w:r w:rsidR="000A47DB">
        <w:rPr>
          <w:rFonts w:ascii="Times New Roman" w:hAnsi="Times New Roman" w:cs="Times New Roman"/>
          <w:sz w:val="24"/>
          <w:szCs w:val="24"/>
          <w:lang w:val="sr-Latn-ME"/>
        </w:rPr>
        <w:t xml:space="preserve">A DRUGOSTEPENI SUD U SLUČAJU U </w:t>
      </w:r>
      <w:r w:rsidRPr="00B060F0">
        <w:rPr>
          <w:rFonts w:ascii="Times New Roman" w:hAnsi="Times New Roman" w:cs="Times New Roman"/>
          <w:sz w:val="24"/>
          <w:szCs w:val="24"/>
          <w:lang w:val="sr-Latn-ME"/>
        </w:rPr>
        <w:t>KOME JE TUŽENOGA U PRVOSTEPENOM POSTUPKU ZASTUPAO ADVOKAT KAO PUNOMOĆNIK, A U SPISIMA PRILIKOM ODLUČIVANJA O ŽALBI NEMA PUNOMOĆJA?</w:t>
      </w:r>
    </w:p>
    <w:p w:rsidR="00B060F0" w:rsidRPr="00B060F0" w:rsidRDefault="00DE0569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Kada je u toku postupka tužioca zastupao advokat kao punomoćnik, a u spisima nema punomoćja, prilikom odlučivanja po žalbi, drugostepeni sud bi vratio spise prvostepenom sudu da otkloni procesni nedostatak u vezi sa zastupanjem  sa nalogom tužiocu da se izjasni da li odobrava parnične radnje koje je u parnici preduzeo njegov advokat.</w:t>
      </w:r>
    </w:p>
    <w:p w:rsidR="00B060F0" w:rsidRPr="00B060F0" w:rsidRDefault="00B060F0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060F0" w:rsidRPr="00B060F0" w:rsidRDefault="00B060F0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060F0">
        <w:rPr>
          <w:rFonts w:ascii="Times New Roman" w:hAnsi="Times New Roman" w:cs="Times New Roman"/>
          <w:sz w:val="24"/>
          <w:szCs w:val="24"/>
          <w:lang w:val="sr-Latn-ME"/>
        </w:rPr>
        <w:t xml:space="preserve">2.SUD JE DONIO RJEŠENJE O ODBACIVANJU TUŽBE ZBOG </w:t>
      </w:r>
      <w:r w:rsidR="000A47DB">
        <w:rPr>
          <w:rFonts w:ascii="Times New Roman" w:hAnsi="Times New Roman" w:cs="Times New Roman"/>
          <w:sz w:val="24"/>
          <w:szCs w:val="24"/>
          <w:lang w:val="sr-Latn-ME"/>
        </w:rPr>
        <w:t>LITISPENDENCIJE. KADA</w:t>
      </w:r>
      <w:r w:rsidRPr="00B060F0">
        <w:rPr>
          <w:rFonts w:ascii="Times New Roman" w:hAnsi="Times New Roman" w:cs="Times New Roman"/>
          <w:sz w:val="24"/>
          <w:szCs w:val="24"/>
          <w:lang w:val="sr-Latn-ME"/>
        </w:rPr>
        <w:t>?</w:t>
      </w:r>
    </w:p>
    <w:p w:rsidR="00B060F0" w:rsidRPr="00B060F0" w:rsidRDefault="00DE0569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Rješenje o odbacivanju tužbe zbog litispendencije, sud  donosi nakon prethodnog ispitivanja tužbe</w:t>
      </w:r>
    </w:p>
    <w:p w:rsidR="00B060F0" w:rsidRPr="00B060F0" w:rsidRDefault="00B060F0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060F0" w:rsidRDefault="00B060F0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060F0">
        <w:rPr>
          <w:rFonts w:ascii="Times New Roman" w:hAnsi="Times New Roman" w:cs="Times New Roman"/>
          <w:sz w:val="24"/>
          <w:szCs w:val="24"/>
          <w:lang w:val="sr-Latn-ME"/>
        </w:rPr>
        <w:t>3.U TUŽBENOM ZAHTJEVU SE TRAŽI DA SE UTVRDI DA JE TUŽILAC U TOKU KORIŠĆENJA POSLOVNOG PROSTORA IZVRŠIO ULAGANJA U ADAPTACIJU POSLOVNOG PROSTORA. RADI LI SE U OVOM SLUČAJU O TUŽBI IZ ODREDBE ČLANA 188 ZPP-A DEKLARATIVNOJ?</w:t>
      </w:r>
    </w:p>
    <w:p w:rsidR="00DE0569" w:rsidRPr="00B060F0" w:rsidRDefault="00DE0569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 radi, jer činjenice ne mogu biti predmet tužbe za utvrđivanje.</w:t>
      </w:r>
    </w:p>
    <w:p w:rsidR="000A47DB" w:rsidRDefault="000A47DB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060F0" w:rsidRDefault="00B060F0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060F0">
        <w:rPr>
          <w:rFonts w:ascii="Times New Roman" w:hAnsi="Times New Roman" w:cs="Times New Roman"/>
          <w:sz w:val="24"/>
          <w:szCs w:val="24"/>
          <w:lang w:val="sr-Latn-ME"/>
        </w:rPr>
        <w:t>4.NOVOTUŽENI JE STUPIO U PARNICU NA MJESTO PRVOTUŽENOG. NOVOTUŽENI ISTIČE PRIGOVOR MJESNE NENADLEŽNOSTI, KOJI NIJE ISTAKAO PRVOBITNO TUŽENI. KOMENTARISATI OVAJ PRIGOVOR.</w:t>
      </w:r>
    </w:p>
    <w:p w:rsidR="00392FBB" w:rsidRDefault="001F1B7B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Tuženi koji pristane da stupi u parnicu umjesto prvobitno</w:t>
      </w:r>
      <w:r w:rsidR="00347D6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tuženog, mora je primiti u onom stanju u kome se ona nalazi kad u nju stupa. To znači da je on prekludiran u pogledu roka do koga može staviti prigovor mjesne nadležnosti i taj prigovor ne može staviti ako to nije</w:t>
      </w:r>
      <w:r w:rsidR="00191C5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učinio prvobitno tuženi</w:t>
      </w:r>
      <w:r w:rsidR="00191C53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392FBB" w:rsidRDefault="00392FBB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5.TUŽBOM SE TRAŽI UTVRĐIVANJE STICANJA SVOJINE PUTEM ODRAŽAJA. TUŽENA SU TRI ZEMLJIŠNOKNJIŠKA SUVLASNIKA NEPOKRETNOSTI. KOJE JE SUPARNIČARSTVO U PITANJU?</w:t>
      </w:r>
    </w:p>
    <w:p w:rsidR="001F1B7B" w:rsidRDefault="00347D67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Ovo pitanje sam priznala svima, jer mi je greškom prilik</w:t>
      </w:r>
      <w:r w:rsidR="00B959AA">
        <w:rPr>
          <w:rFonts w:ascii="Times New Roman" w:hAnsi="Times New Roman" w:cs="Times New Roman"/>
          <w:sz w:val="24"/>
          <w:szCs w:val="24"/>
          <w:lang w:val="sr-Latn-ME"/>
        </w:rPr>
        <w:t>om kucanje ispušten dio pitanja.</w:t>
      </w:r>
    </w:p>
    <w:p w:rsidR="00392FBB" w:rsidRDefault="00392FBB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6.TUŽENO JE VIŠE OSIGURAVAJUĆIH ORGANIZACIJA U PARNICI RADI NAKNADE ŠTETE. KAKVO JE SUPARNIČARSTVO OSIGURAVAJUĆIH DRUŠTAVA?</w:t>
      </w:r>
    </w:p>
    <w:p w:rsidR="009759E9" w:rsidRDefault="001F1B7B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Formalno i obično</w:t>
      </w:r>
      <w:r w:rsidR="00191C53">
        <w:rPr>
          <w:rFonts w:ascii="Times New Roman" w:hAnsi="Times New Roman" w:cs="Times New Roman"/>
          <w:sz w:val="24"/>
          <w:szCs w:val="24"/>
          <w:lang w:val="sr-Latn-ME"/>
        </w:rPr>
        <w:t xml:space="preserve"> suparničarstvo.</w:t>
      </w:r>
    </w:p>
    <w:p w:rsidR="009759E9" w:rsidRDefault="009759E9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9759E9" w:rsidRDefault="009759E9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7.TUŽENI JE DUŽAN DA NAKNADI ŠTETU KAO OSIGURAVATELJ PUTNIČKIH KOLA VLASNIŠTVO LICA A KOJI JE POVRIJEDIO TUŽIOČEVOG OSIGURANIKA ZBOG ČEGA JE TUŽILAC IMA IZDATKE OKO NJEGOVOG LIJEČENJA I NAKNADE PLATE. TUŽENI JE PREDLAGAO DA SUD UTVRDI DOPRINOS OŠTEĆENOG U NASTANKU ŠTETE, ŠTO SUD NIJE USVOJIO, VEĆ JE SVOJU ODLUKU BAZIRAO NA PRAVNOSNAŽNOJ OSUĐUJUĆOJ PRESUDI KRIVIČNOG SUDA. KOMENTARISATI POSTUPANJE SUDA.</w:t>
      </w:r>
    </w:p>
    <w:p w:rsidR="009759E9" w:rsidRDefault="00191C53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Ustanovljenje krivičnog djela o postojanju štete i njenom iznosu-visini kod ovog krivičnog dje</w:t>
      </w:r>
      <w:r w:rsidR="003D425F">
        <w:rPr>
          <w:rFonts w:ascii="Times New Roman" w:hAnsi="Times New Roman" w:cs="Times New Roman"/>
          <w:sz w:val="24"/>
          <w:szCs w:val="24"/>
          <w:lang w:val="sr-Latn-ME"/>
        </w:rPr>
        <w:t>la ne ulazi i red elemenata njegovog zakonskog bića, nije obavezno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za parnični sud. Stoga bi parnični sud mogao nezavisno od postojanja krivične presude da utvrđuje da li je krivičnim djelom prouzrokovana šteta ili ne, koliko ja njena visina, kao i pitanje krivice za tu štetu.</w:t>
      </w:r>
    </w:p>
    <w:p w:rsidR="00DE0569" w:rsidRDefault="00DE0569" w:rsidP="00DE0569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9759E9" w:rsidRDefault="00DE0569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8.LICE A IZ PODGORICE JE PODNIJELO TUŽBU PROTIV LICA B IZ PODGORICE ZBOG ISPLATE ZAKUPNINE</w:t>
      </w:r>
      <w:r w:rsidR="009965D1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32ADF">
        <w:rPr>
          <w:rFonts w:ascii="Times New Roman" w:hAnsi="Times New Roman" w:cs="Times New Roman"/>
          <w:sz w:val="24"/>
          <w:szCs w:val="24"/>
          <w:lang w:val="sr-Latn-ME"/>
        </w:rPr>
        <w:t>KUĆE KOJA SE NALAZI NA TERITORIJI NIKŠIĆA.TUŽBA JE PODNIJETA PODGORIČKOM SUDU. KAKO ĆE POSTUPITI PODGORIČKI SUD?</w:t>
      </w:r>
    </w:p>
    <w:p w:rsidR="00832ADF" w:rsidRDefault="009965D1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Oglasiće se mjesno nenadležnim i bez odlaganja u roku od tri dana, ustupiti predmet nadležnom sudu</w:t>
      </w:r>
    </w:p>
    <w:p w:rsidR="00832ADF" w:rsidRDefault="00832ADF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9.TUŽILAC JE U ODSUSTVU TUŽENOG IZNIO ČINJENIČNU TVRDNJU. KAKO ĆE SUD POSTUPITI?</w:t>
      </w:r>
    </w:p>
    <w:p w:rsidR="00832ADF" w:rsidRDefault="009965D1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Sud uzi</w:t>
      </w:r>
      <w:r w:rsidR="00347D67">
        <w:rPr>
          <w:rFonts w:ascii="Times New Roman" w:hAnsi="Times New Roman" w:cs="Times New Roman"/>
          <w:sz w:val="24"/>
          <w:szCs w:val="24"/>
          <w:lang w:val="sr-Latn-ME"/>
        </w:rPr>
        <w:t>ma kao da je osporena činjenica, jer se radi i principu</w:t>
      </w:r>
      <w:r w:rsidR="00B959A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347D67">
        <w:rPr>
          <w:rFonts w:ascii="Times New Roman" w:hAnsi="Times New Roman" w:cs="Times New Roman"/>
          <w:sz w:val="24"/>
          <w:szCs w:val="24"/>
          <w:lang w:val="sr-Latn-ME"/>
        </w:rPr>
        <w:t>negativne litiskontestacije</w:t>
      </w:r>
      <w:r w:rsidR="00B959AA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832ADF" w:rsidRDefault="00832ADF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10.TUŽENI SE BRANI KOMPENZACIONIM PRIGOVOROM. TUŽILAC POVUČE TUŽBU. ŠTA SUD RADI?</w:t>
      </w:r>
    </w:p>
    <w:p w:rsidR="00347D67" w:rsidRDefault="00347D67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Prigovor dijeli sudbinu tužbe.</w:t>
      </w:r>
    </w:p>
    <w:p w:rsidR="00347D67" w:rsidRDefault="00347D67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Broj tačnih o</w:t>
      </w:r>
      <w:r w:rsidR="003D425F">
        <w:rPr>
          <w:rFonts w:ascii="Times New Roman" w:hAnsi="Times New Roman" w:cs="Times New Roman"/>
          <w:sz w:val="24"/>
          <w:szCs w:val="24"/>
          <w:lang w:val="sr-Latn-ME"/>
        </w:rPr>
        <w:t>d</w:t>
      </w:r>
      <w:r>
        <w:rPr>
          <w:rFonts w:ascii="Times New Roman" w:hAnsi="Times New Roman" w:cs="Times New Roman"/>
          <w:sz w:val="24"/>
          <w:szCs w:val="24"/>
          <w:lang w:val="sr-Latn-ME"/>
        </w:rPr>
        <w:t>govora za ocjenu E, a to je šest</w:t>
      </w:r>
      <w:r w:rsidR="003D425F">
        <w:rPr>
          <w:rFonts w:ascii="Times New Roman" w:hAnsi="Times New Roman" w:cs="Times New Roman"/>
          <w:sz w:val="24"/>
          <w:szCs w:val="24"/>
          <w:lang w:val="sr-Latn-ME"/>
        </w:rPr>
        <w:t xml:space="preserve"> odgovora</w:t>
      </w:r>
      <w:r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3D425F">
        <w:rPr>
          <w:rFonts w:ascii="Times New Roman" w:hAnsi="Times New Roman" w:cs="Times New Roman"/>
          <w:sz w:val="24"/>
          <w:szCs w:val="24"/>
          <w:lang w:val="sr-Latn-ME"/>
        </w:rPr>
        <w:t xml:space="preserve"> ukupno iznosi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20 poena, a broj tačnih odgovora za ocjenu A je deset</w:t>
      </w:r>
      <w:r w:rsidR="003D425F">
        <w:rPr>
          <w:rFonts w:ascii="Times New Roman" w:hAnsi="Times New Roman" w:cs="Times New Roman"/>
          <w:sz w:val="24"/>
          <w:szCs w:val="24"/>
          <w:lang w:val="sr-Latn-ME"/>
        </w:rPr>
        <w:t xml:space="preserve"> tačnih</w:t>
      </w:r>
      <w:r>
        <w:rPr>
          <w:rFonts w:ascii="Times New Roman" w:hAnsi="Times New Roman" w:cs="Times New Roman"/>
          <w:sz w:val="24"/>
          <w:szCs w:val="24"/>
          <w:lang w:val="sr-Latn-ME"/>
        </w:rPr>
        <w:t>, to je</w:t>
      </w:r>
      <w:r w:rsidR="003D425F">
        <w:rPr>
          <w:rFonts w:ascii="Times New Roman" w:hAnsi="Times New Roman" w:cs="Times New Roman"/>
          <w:sz w:val="24"/>
          <w:szCs w:val="24"/>
          <w:lang w:val="sr-Latn-ME"/>
        </w:rPr>
        <w:t xml:space="preserve"> ukupno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47</w:t>
      </w:r>
      <w:r w:rsidR="003D425F">
        <w:rPr>
          <w:rFonts w:ascii="Times New Roman" w:hAnsi="Times New Roman" w:cs="Times New Roman"/>
          <w:sz w:val="24"/>
          <w:szCs w:val="24"/>
          <w:lang w:val="sr-Latn-ME"/>
        </w:rPr>
        <w:t xml:space="preserve"> poena-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za kolokvijum.</w:t>
      </w:r>
    </w:p>
    <w:p w:rsidR="003D425F" w:rsidRDefault="003D425F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</w:t>
      </w:r>
      <w:r w:rsidR="00347D67">
        <w:rPr>
          <w:rFonts w:ascii="Times New Roman" w:hAnsi="Times New Roman" w:cs="Times New Roman"/>
          <w:sz w:val="24"/>
          <w:szCs w:val="24"/>
          <w:lang w:val="sr-Latn-ME"/>
        </w:rPr>
        <w:t>roj tačnih odgovora za ocjenu E</w:t>
      </w:r>
      <w:r>
        <w:rPr>
          <w:rFonts w:ascii="Times New Roman" w:hAnsi="Times New Roman" w:cs="Times New Roman"/>
          <w:sz w:val="24"/>
          <w:szCs w:val="24"/>
          <w:lang w:val="sr-Latn-ME"/>
        </w:rPr>
        <w:t>, a to je šest odgovora, ukupno iznosi 30 poena, a broj tačnih odgovora za ocjenu A je deset tačnih, to je ukupno 47 poena-završni ispit.</w:t>
      </w:r>
    </w:p>
    <w:p w:rsidR="003D425F" w:rsidRDefault="003D425F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Maksimalan broj poena za seminarski rad je 6.</w:t>
      </w:r>
    </w:p>
    <w:p w:rsidR="00347D67" w:rsidRDefault="003D425F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47+47+6=100</w:t>
      </w:r>
      <w:r w:rsidR="00347D6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0707A0" w:rsidRDefault="00CD1962" w:rsidP="000707A0">
      <w:pPr>
        <w:rPr>
          <w:lang w:val="sr-Latn-ME"/>
        </w:rPr>
      </w:pPr>
      <w:r>
        <w:rPr>
          <w:lang w:val="sr-Latn-ME"/>
        </w:rPr>
        <w:t>B</w:t>
      </w:r>
      <w:r w:rsidR="00EC4665">
        <w:rPr>
          <w:lang w:val="sr-Latn-ME"/>
        </w:rPr>
        <w:t xml:space="preserve">roj </w:t>
      </w:r>
      <w:r>
        <w:rPr>
          <w:lang w:val="sr-Latn-ME"/>
        </w:rPr>
        <w:t>odgovora za prelaznu ocjenu</w:t>
      </w:r>
      <w:r w:rsidR="00347D67">
        <w:rPr>
          <w:lang w:val="sr-Latn-ME"/>
        </w:rPr>
        <w:t xml:space="preserve"> E</w:t>
      </w:r>
      <w:r>
        <w:rPr>
          <w:lang w:val="sr-Latn-ME"/>
        </w:rPr>
        <w:t xml:space="preserve"> je 6 </w:t>
      </w:r>
      <w:r w:rsidR="00347D67">
        <w:rPr>
          <w:lang w:val="sr-Latn-ME"/>
        </w:rPr>
        <w:t xml:space="preserve"> tačnih odgovora što nosi</w:t>
      </w:r>
      <w:r>
        <w:rPr>
          <w:lang w:val="sr-Latn-ME"/>
        </w:rPr>
        <w:t xml:space="preserve"> 20 poena, se</w:t>
      </w:r>
      <w:r w:rsidR="00347D67">
        <w:rPr>
          <w:lang w:val="sr-Latn-ME"/>
        </w:rPr>
        <w:t>dam tačnih odgovora bi nosilo 27</w:t>
      </w:r>
      <w:r>
        <w:rPr>
          <w:lang w:val="sr-Latn-ME"/>
        </w:rPr>
        <w:t xml:space="preserve"> poena što odgovara ocje</w:t>
      </w:r>
      <w:r w:rsidR="00347D67">
        <w:rPr>
          <w:lang w:val="sr-Latn-ME"/>
        </w:rPr>
        <w:t>ni D, osam tačnih odgovora je 34</w:t>
      </w:r>
      <w:r>
        <w:rPr>
          <w:lang w:val="sr-Latn-ME"/>
        </w:rPr>
        <w:t xml:space="preserve"> poena što odgovara ocjeni C, devet </w:t>
      </w:r>
      <w:r w:rsidR="00347D67">
        <w:rPr>
          <w:lang w:val="sr-Latn-ME"/>
        </w:rPr>
        <w:t>tačnih odgovora je 41</w:t>
      </w:r>
      <w:r>
        <w:rPr>
          <w:lang w:val="sr-Latn-ME"/>
        </w:rPr>
        <w:t xml:space="preserve"> poena što odgovara ocjeni B i deset tačnih odgovora je 47 poena što je ocjena A.</w:t>
      </w:r>
    </w:p>
    <w:p w:rsidR="00CD1962" w:rsidRDefault="00FA053B" w:rsidP="000707A0">
      <w:pPr>
        <w:rPr>
          <w:lang w:val="sr-Latn-ME"/>
        </w:rPr>
      </w:pPr>
      <w:r>
        <w:rPr>
          <w:lang w:val="sr-Latn-ME"/>
        </w:rPr>
        <w:t xml:space="preserve">Dvadeset poena nosi šest </w:t>
      </w:r>
      <w:r w:rsidR="003D425F">
        <w:rPr>
          <w:lang w:val="sr-Latn-ME"/>
        </w:rPr>
        <w:t xml:space="preserve">tačnih </w:t>
      </w:r>
      <w:r>
        <w:rPr>
          <w:lang w:val="sr-Latn-ME"/>
        </w:rPr>
        <w:t>odgovora, odnosno svaki po 3,33 poena, stim š</w:t>
      </w:r>
      <w:r w:rsidR="00B959AA">
        <w:rPr>
          <w:lang w:val="sr-Latn-ME"/>
        </w:rPr>
        <w:t>to su</w:t>
      </w:r>
      <w:r w:rsidR="003D425F">
        <w:rPr>
          <w:lang w:val="sr-Latn-ME"/>
        </w:rPr>
        <w:t xml:space="preserve"> negde poeni zaokružni:</w:t>
      </w:r>
    </w:p>
    <w:p w:rsidR="003D425F" w:rsidRDefault="003D425F" w:rsidP="000707A0">
      <w:pPr>
        <w:rPr>
          <w:lang w:val="sr-Latn-ME"/>
        </w:rPr>
      </w:pPr>
      <w:r>
        <w:rPr>
          <w:lang w:val="sr-Latn-ME"/>
        </w:rPr>
        <w:t>Jedan</w:t>
      </w:r>
      <w:r w:rsidR="00B959AA">
        <w:rPr>
          <w:lang w:val="sr-Latn-ME"/>
        </w:rPr>
        <w:t xml:space="preserve"> odgovor</w:t>
      </w:r>
      <w:r>
        <w:rPr>
          <w:lang w:val="sr-Latn-ME"/>
        </w:rPr>
        <w:t xml:space="preserve">:3,33 zaokruženo na 4; dva:6,6 zaokruženo na 7; tri:9,9 zaokruženo na 10; četiri; 13,2 zaokruženo na </w:t>
      </w:r>
      <w:r w:rsidR="00B959AA">
        <w:rPr>
          <w:lang w:val="sr-Latn-ME"/>
        </w:rPr>
        <w:t>13; pet:16,5 zaokruženo na 17 i  još jedan odgovor 3 boda do</w:t>
      </w:r>
      <w:bookmarkStart w:id="0" w:name="_GoBack"/>
      <w:bookmarkEnd w:id="0"/>
      <w:r>
        <w:rPr>
          <w:lang w:val="sr-Latn-ME"/>
        </w:rPr>
        <w:t xml:space="preserve"> 20.</w:t>
      </w:r>
    </w:p>
    <w:p w:rsidR="00EC4665" w:rsidRDefault="00EC4665" w:rsidP="000707A0"/>
    <w:p w:rsidR="00832ADF" w:rsidRDefault="00832ADF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32ADF" w:rsidRDefault="00832ADF" w:rsidP="00B060F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32ADF" w:rsidRPr="00B060F0" w:rsidRDefault="00832ADF" w:rsidP="00B060F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B060F0" w:rsidRPr="00B060F0" w:rsidRDefault="00B060F0" w:rsidP="00B060F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B060F0" w:rsidRPr="00B06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22B05"/>
    <w:multiLevelType w:val="hybridMultilevel"/>
    <w:tmpl w:val="CB7E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F0"/>
    <w:rsid w:val="00024FF5"/>
    <w:rsid w:val="000707A0"/>
    <w:rsid w:val="000A47DB"/>
    <w:rsid w:val="00191C53"/>
    <w:rsid w:val="001F1B7B"/>
    <w:rsid w:val="00347D67"/>
    <w:rsid w:val="00392FBB"/>
    <w:rsid w:val="003D425F"/>
    <w:rsid w:val="00832ADF"/>
    <w:rsid w:val="009759E9"/>
    <w:rsid w:val="009965D1"/>
    <w:rsid w:val="00A645B9"/>
    <w:rsid w:val="00AA502D"/>
    <w:rsid w:val="00B060F0"/>
    <w:rsid w:val="00B959AA"/>
    <w:rsid w:val="00CD1962"/>
    <w:rsid w:val="00DE0569"/>
    <w:rsid w:val="00E06013"/>
    <w:rsid w:val="00EC4665"/>
    <w:rsid w:val="00FA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26C1"/>
  <w15:chartTrackingRefBased/>
  <w15:docId w15:val="{09AFDDC0-C40B-42C6-9B12-8F253E32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0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23</cp:revision>
  <dcterms:created xsi:type="dcterms:W3CDTF">2020-05-01T11:43:00Z</dcterms:created>
  <dcterms:modified xsi:type="dcterms:W3CDTF">2020-05-05T07:11:00Z</dcterms:modified>
</cp:coreProperties>
</file>